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172</w:t>
      </w:r>
    </w:p>
    <w:p>
      <w:r>
        <w:t>Bundesgericht (BGE), 1974-05-21, DE</w:t>
      </w:r>
    </w:p>
    <w:p>
      <w:r>
        <w:rPr>
          <w:b/>
        </w:rPr>
        <w:t xml:space="preserve">Quelle: </w:t>
      </w:r>
      <w:r>
        <w:t>https://mcp.opencaselaw.ch/entscheid/bge_101 II 172</w:t>
      </w:r>
    </w:p>
    <w:p>
      <w:r>
        <w:t>FR: ATF 101 II 172</w:t>
      </w:r>
    </w:p>
    <w:p>
      <w:r>
        <w:t>IT: DTF 101 II 172</w:t>
      </w:r>
    </w:p>
    <w:p>
      <w:pPr>
        <w:pStyle w:val="Heading2"/>
      </w:pPr>
      <w:r>
        <w:t>Regeste</w:t>
      </w:r>
    </w:p>
    <w:p>
      <w:r>
        <w:t>Regeste Art. 50 Abs. 1 OG. Ein Endentscheid im Sinne dieser Bestimmung kann nur dann sofort herbeigeführt werden, wenn das Bundesgericht selbst ihn fällen kann.</w:t>
      </w:r>
    </w:p>
    <w:p>
      <w:pPr>
        <w:pStyle w:val="Heading2"/>
      </w:pPr>
      <w:r>
        <w:t>Erwägungen</w:t>
      </w:r>
    </w:p>
    <w:p>
      <w:r>
        <w:rPr>
          <w:b/>
        </w:rPr>
        <w:t>E. 1</w:t>
      </w:r>
    </w:p>
    <w:p>
      <w:r>
        <w:t>Gegen einen selbständigen Vor- oder Zwischenentscheid, wie er hier vorliegt, ist die Berufung nur zulässig, "wenn dadurch sofort ein Endentscheid herbeigeführt und ein so bedeutender Aufwand an Zeit oder Kosten für ein weitläufiges Beweisverfahren erspart werden kann, dass die gesonderte Anrufung des Bundesgerichtes gerechtfertigt erscheint" ( Art. 50 Abs. 1 OG ). Ein Endentscheid kann nur dann sofort herbeigeführt werden, wenn das Bundesgericht selbst ihn fällen kann. Im vorliegenden Falle ist das ausgeschlossen. Das Obergericht hat nur entschieden, Art. 343 Abs. 4 OR gehe dem § 150 ZPO vor, der bestimmt, "dass Anerkennung der tatsächlichen Klagegründe und Verzicht auf Einreden angenommen werde, wenn der Beklagte die Klage innert der angesetzten Frist nicht beantworte". Sollte diese statt jene Norm anzuwenden sein, so ergäbe sich daraus nicht ohne weiteres - jedenfalls nicht von Bundesrechts wegen -, dass die Klage gutgeheissen werden müsse, wie der Kläger meint. Die Sache wäre an das Obergericht zurückzuweisen, damit es den prozessual zu berücksichtigenden BGE 101 II 172 S. 174 Sachverhalt feststelle und das Klagebegehren materiell beurteile. Daran vermag auch die Erklärung des Klägers, er sei im Sinne eines Eventualantrages bereit, die von der Beklagten in zweiter Instanz eingereichten Beweismittel gegen sich gelten zu lassen, nichts zu ändern.</w:t>
      </w:r>
    </w:p>
    <w:p>
      <w:r>
        <w:rPr>
          <w:b/>
        </w:rPr>
        <w:t>E. 2</w:t>
      </w:r>
    </w:p>
    <w:p>
      <w:r>
        <w:t>Da auf die Berufung schon gemäss Art. 50 OG nicht eingetreten werden kann, braucht nicht entschieden zu werden, ob der Streitwert wenigstens Fr. 8'000.-- erreicht ( Art. 46 OG ). Dass er gegeben sei, versteht sich nicht von selbst, denn der Kläger hat den Betrag von Fr. 8'365.-- nur "abzüglich AHV/IV" eingeklagt, und das Bezirksgericht hat ihm denselben ebenfalls nur "abzüglich AHV/IV" zugesprochen.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